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7B1EC3C4"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50325C">
        <w:rPr>
          <w:b/>
          <w:bCs/>
          <w:lang w:eastAsia="zh-CN"/>
        </w:rPr>
        <w:t>1</w:t>
      </w:r>
      <w:r>
        <w:rPr>
          <w:b/>
          <w:bCs/>
          <w:lang w:eastAsia="zh-CN"/>
        </w:rPr>
        <w:t>0</w:t>
      </w:r>
      <w:r w:rsidRPr="002D3C03">
        <w:rPr>
          <w:b/>
          <w:kern w:val="2"/>
          <w:lang w:eastAsia="zh-CN"/>
        </w:rPr>
        <w:tab/>
      </w:r>
      <w:r>
        <w:rPr>
          <w:b/>
          <w:kern w:val="2"/>
          <w:lang w:eastAsia="zh-CN"/>
        </w:rPr>
        <w:t xml:space="preserve">  </w:t>
      </w:r>
      <w:r w:rsidR="001F5C70" w:rsidRPr="001F5C70">
        <w:rPr>
          <w:b/>
          <w:kern w:val="2"/>
          <w:lang w:eastAsia="zh-CN"/>
        </w:rPr>
        <w:t>R4-2</w:t>
      </w:r>
      <w:r w:rsidR="0050325C">
        <w:rPr>
          <w:b/>
          <w:kern w:val="2"/>
          <w:lang w:eastAsia="zh-CN"/>
        </w:rPr>
        <w:t>4</w:t>
      </w:r>
      <w:r w:rsidR="00D378BC">
        <w:rPr>
          <w:b/>
          <w:kern w:val="2"/>
          <w:lang w:eastAsia="zh-CN"/>
        </w:rPr>
        <w:t>01685</w:t>
      </w:r>
      <w:bookmarkStart w:id="1" w:name="_GoBack"/>
      <w:bookmarkEnd w:id="1"/>
    </w:p>
    <w:p w14:paraId="693A309F" w14:textId="77777777" w:rsidR="0050325C" w:rsidRPr="00BD6520" w:rsidRDefault="0050325C" w:rsidP="0050325C">
      <w:pPr>
        <w:rPr>
          <w:b/>
          <w:bCs/>
          <w:vertAlign w:val="superscript"/>
          <w:lang w:eastAsia="zh-CN"/>
        </w:rPr>
      </w:pPr>
      <w:r>
        <w:rPr>
          <w:rFonts w:eastAsia="宋体"/>
          <w:b/>
          <w:bCs/>
          <w:lang w:eastAsia="zh-CN"/>
        </w:rPr>
        <w:t>Athens</w:t>
      </w:r>
      <w:r w:rsidRPr="00F6004D">
        <w:rPr>
          <w:rFonts w:eastAsia="宋体"/>
          <w:b/>
          <w:bCs/>
          <w:lang w:eastAsia="zh-CN"/>
        </w:rPr>
        <w:t xml:space="preserve">, </w:t>
      </w:r>
      <w:r>
        <w:rPr>
          <w:rFonts w:eastAsia="宋体"/>
          <w:b/>
          <w:bCs/>
          <w:lang w:eastAsia="zh-CN"/>
        </w:rPr>
        <w:t>Greece, February</w:t>
      </w:r>
      <w:r w:rsidRPr="00F6004D">
        <w:rPr>
          <w:rFonts w:eastAsia="宋体"/>
          <w:b/>
          <w:bCs/>
          <w:lang w:eastAsia="zh-CN"/>
        </w:rPr>
        <w:t xml:space="preserve"> </w:t>
      </w:r>
      <w:r>
        <w:rPr>
          <w:rFonts w:eastAsia="宋体"/>
          <w:b/>
          <w:bCs/>
          <w:lang w:eastAsia="zh-CN"/>
        </w:rPr>
        <w:t>26 – March 01,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829D18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23B84">
        <w:rPr>
          <w:b/>
          <w:kern w:val="2"/>
          <w:lang w:eastAsia="zh-CN"/>
        </w:rPr>
        <w:t>11.1</w:t>
      </w:r>
      <w:r w:rsidR="0071509B" w:rsidRPr="0071509B">
        <w:rPr>
          <w:b/>
          <w:kern w:val="2"/>
          <w:lang w:eastAsia="zh-CN"/>
        </w:rPr>
        <w:t>.</w:t>
      </w:r>
      <w:r w:rsidR="00A23B84">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BF9B73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937E5" w:rsidRPr="001937E5">
        <w:rPr>
          <w:b/>
          <w:kern w:val="2"/>
          <w:lang w:eastAsia="zh-CN"/>
        </w:rPr>
        <w:t xml:space="preserve">Testability and interoperability issues for 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1046630D" w14:textId="0D89B7A0" w:rsidR="001204FE" w:rsidRDefault="001204FE" w:rsidP="001204FE">
      <w:pPr>
        <w:overflowPunct w:val="0"/>
        <w:snapToGrid/>
        <w:textAlignment w:val="baseline"/>
        <w:rPr>
          <w:lang w:eastAsia="zh-CN"/>
        </w:rPr>
      </w:pPr>
      <w:r>
        <w:rPr>
          <w:lang w:eastAsia="zh-CN"/>
        </w:rPr>
        <w:t xml:space="preserve">In [1], a new WID is approved, where RAN4 is required to </w:t>
      </w:r>
      <w:r w:rsidR="00FE5542">
        <w:rPr>
          <w:lang w:eastAsia="zh-CN"/>
        </w:rPr>
        <w:t xml:space="preserve">specify </w:t>
      </w:r>
      <w:r w:rsidR="00FE5542" w:rsidRPr="00FE5542">
        <w:rPr>
          <w:lang w:eastAsia="zh-CN"/>
        </w:rPr>
        <w:t>core requirements for AIML-enabled beam management and positioning accuracy enhancement</w:t>
      </w:r>
      <w:r>
        <w:rPr>
          <w:lang w:eastAsia="zh-CN"/>
        </w:rPr>
        <w:t xml:space="preserve">. </w:t>
      </w:r>
    </w:p>
    <w:p w14:paraId="77529148" w14:textId="118CB85F" w:rsidR="001204FE" w:rsidRDefault="001204FE" w:rsidP="001204FE">
      <w:pPr>
        <w:overflowPunct w:val="0"/>
        <w:snapToGrid/>
        <w:textAlignment w:val="baseline"/>
        <w:rPr>
          <w:lang w:eastAsia="zh-CN"/>
        </w:rPr>
      </w:pPr>
      <w:r>
        <w:rPr>
          <w:lang w:eastAsia="zh-CN"/>
        </w:rPr>
        <w:t xml:space="preserve">According to the TR 38.843 [2], potential </w:t>
      </w:r>
      <w:r w:rsidR="00FE5542">
        <w:rPr>
          <w:lang w:eastAsia="zh-CN"/>
        </w:rPr>
        <w:t>test metrics are identified for beam management</w:t>
      </w:r>
      <w:r>
        <w:rPr>
          <w:lang w:eastAsia="zh-CN"/>
        </w:rPr>
        <w:t xml:space="preserve">. The testability and necessity of each identified test metric needs further justification. </w:t>
      </w:r>
    </w:p>
    <w:p w14:paraId="359C73C3" w14:textId="194AADB7" w:rsidR="001204FE" w:rsidRPr="00D20BAC" w:rsidRDefault="001204FE" w:rsidP="001204FE">
      <w:pPr>
        <w:overflowPunct w:val="0"/>
        <w:snapToGrid/>
        <w:textAlignment w:val="baseline"/>
        <w:rPr>
          <w:lang w:eastAsia="en-GB"/>
        </w:rPr>
      </w:pPr>
      <w:r>
        <w:rPr>
          <w:lang w:eastAsia="en-GB"/>
        </w:rPr>
        <w:t xml:space="preserve">In this contribution, both the </w:t>
      </w:r>
      <w:r w:rsidR="00FE5542">
        <w:rPr>
          <w:lang w:eastAsia="en-GB"/>
        </w:rPr>
        <w:t>beam management specific core requirement</w:t>
      </w:r>
      <w:r>
        <w:rPr>
          <w:lang w:eastAsia="en-GB"/>
        </w:rPr>
        <w:t xml:space="preserve"> and testability of test metrics are analyzed. </w:t>
      </w:r>
    </w:p>
    <w:p w14:paraId="0977F727" w14:textId="742498F8" w:rsidR="00FE5542" w:rsidRPr="00FE5542" w:rsidRDefault="00FE5542" w:rsidP="00FE5542">
      <w:pPr>
        <w:pStyle w:val="Heading1"/>
        <w:numPr>
          <w:ilvl w:val="0"/>
          <w:numId w:val="8"/>
        </w:numPr>
        <w:ind w:left="426"/>
      </w:pPr>
      <w:r>
        <w:t>Core</w:t>
      </w:r>
      <w:r w:rsidR="003A7871" w:rsidRPr="00F10401">
        <w:t xml:space="preserve"> </w:t>
      </w:r>
      <w:r>
        <w:t xml:space="preserve">requirements </w:t>
      </w:r>
      <w:r w:rsidR="003A7871" w:rsidRPr="00F10401">
        <w:t xml:space="preserve">for </w:t>
      </w:r>
      <w:r w:rsidR="009B100F">
        <w:t>LCM procedures</w:t>
      </w:r>
    </w:p>
    <w:tbl>
      <w:tblPr>
        <w:tblStyle w:val="TableGrid"/>
        <w:tblW w:w="0" w:type="auto"/>
        <w:tblLook w:val="04A0" w:firstRow="1" w:lastRow="0" w:firstColumn="1" w:lastColumn="0" w:noHBand="0" w:noVBand="1"/>
      </w:tblPr>
      <w:tblGrid>
        <w:gridCol w:w="9307"/>
      </w:tblGrid>
      <w:tr w:rsidR="00F37534" w14:paraId="2232C273" w14:textId="77777777" w:rsidTr="00FE5542">
        <w:tc>
          <w:tcPr>
            <w:tcW w:w="9307" w:type="dxa"/>
          </w:tcPr>
          <w:p w14:paraId="4377D6AD" w14:textId="6C5B5844" w:rsidR="00FE5542" w:rsidRDefault="00E054EB" w:rsidP="00E054EB">
            <w:pPr>
              <w:spacing w:after="0"/>
              <w:ind w:left="60"/>
              <w:rPr>
                <w:rFonts w:eastAsia="Yu Mincho"/>
                <w:sz w:val="16"/>
                <w:szCs w:val="20"/>
                <w:lang w:eastAsia="ja-JP"/>
              </w:rPr>
            </w:pPr>
            <w:r>
              <w:rPr>
                <w:rFonts w:eastAsia="Yu Mincho"/>
                <w:sz w:val="16"/>
                <w:szCs w:val="20"/>
                <w:lang w:eastAsia="ja-JP"/>
              </w:rPr>
              <w:t>R19 SID on AIML</w:t>
            </w:r>
            <w:r w:rsidR="00FE5542" w:rsidRPr="00FE5542">
              <w:rPr>
                <w:rFonts w:eastAsia="Yu Mincho"/>
                <w:sz w:val="16"/>
                <w:szCs w:val="20"/>
                <w:lang w:eastAsia="ja-JP"/>
              </w:rPr>
              <w:t xml:space="preserve"> [</w:t>
            </w:r>
            <w:r>
              <w:rPr>
                <w:rFonts w:eastAsia="Yu Mincho"/>
                <w:sz w:val="16"/>
                <w:szCs w:val="20"/>
                <w:lang w:eastAsia="ja-JP"/>
              </w:rPr>
              <w:t>1</w:t>
            </w:r>
            <w:r w:rsidR="00FE5542" w:rsidRPr="00FE5542">
              <w:rPr>
                <w:rFonts w:eastAsia="Yu Mincho"/>
                <w:sz w:val="16"/>
                <w:szCs w:val="20"/>
                <w:lang w:eastAsia="ja-JP"/>
              </w:rPr>
              <w:t>]:</w:t>
            </w:r>
          </w:p>
          <w:p w14:paraId="687EB69C" w14:textId="77777777" w:rsidR="00E054EB" w:rsidRPr="00E054EB" w:rsidRDefault="00E054EB" w:rsidP="00E054EB">
            <w:pPr>
              <w:numPr>
                <w:ilvl w:val="0"/>
                <w:numId w:val="48"/>
              </w:numPr>
              <w:overflowPunct w:val="0"/>
              <w:snapToGrid/>
              <w:spacing w:after="0"/>
              <w:jc w:val="left"/>
              <w:textAlignment w:val="baseline"/>
              <w:rPr>
                <w:bCs/>
                <w:sz w:val="16"/>
                <w:szCs w:val="16"/>
              </w:rPr>
            </w:pPr>
            <w:r w:rsidRPr="00E054EB">
              <w:rPr>
                <w:rFonts w:eastAsia="Batang"/>
                <w:sz w:val="16"/>
                <w:szCs w:val="16"/>
                <w:lang w:eastAsia="x-none"/>
              </w:rPr>
              <w:t xml:space="preserve">Core requirements for </w:t>
            </w:r>
            <w:r w:rsidRPr="00E054EB">
              <w:rPr>
                <w:bCs/>
                <w:sz w:val="16"/>
                <w:szCs w:val="16"/>
              </w:rPr>
              <w:t xml:space="preserve">the above two use cases for AI/ML </w:t>
            </w:r>
            <w:r w:rsidRPr="00E054EB">
              <w:rPr>
                <w:rFonts w:eastAsia="Batang"/>
                <w:sz w:val="16"/>
                <w:szCs w:val="16"/>
                <w:lang w:eastAsia="x-none"/>
              </w:rPr>
              <w:t>LCM procedures and UE features [RAN4]:</w:t>
            </w:r>
          </w:p>
          <w:p w14:paraId="6030664C" w14:textId="77777777" w:rsidR="00E054EB" w:rsidRPr="00E054EB" w:rsidRDefault="00E054EB" w:rsidP="00E054EB">
            <w:pPr>
              <w:numPr>
                <w:ilvl w:val="1"/>
                <w:numId w:val="48"/>
              </w:numPr>
              <w:overflowPunct w:val="0"/>
              <w:snapToGrid/>
              <w:spacing w:after="0"/>
              <w:jc w:val="left"/>
              <w:textAlignment w:val="baseline"/>
              <w:rPr>
                <w:bCs/>
                <w:sz w:val="16"/>
                <w:szCs w:val="16"/>
              </w:rPr>
            </w:pPr>
            <w:r w:rsidRPr="00E054EB">
              <w:rPr>
                <w:bCs/>
                <w:sz w:val="16"/>
                <w:szCs w:val="16"/>
              </w:rPr>
              <w:t>Specify necessary RAN4 core requirements for the above two use cases.</w:t>
            </w:r>
          </w:p>
          <w:p w14:paraId="4632B411" w14:textId="474570C4" w:rsidR="00F37534" w:rsidRPr="00E054EB" w:rsidRDefault="00E054EB" w:rsidP="00E054EB">
            <w:pPr>
              <w:numPr>
                <w:ilvl w:val="1"/>
                <w:numId w:val="48"/>
              </w:numPr>
              <w:overflowPunct w:val="0"/>
              <w:snapToGrid/>
              <w:spacing w:after="0"/>
              <w:jc w:val="left"/>
              <w:textAlignment w:val="baseline"/>
              <w:rPr>
                <w:bCs/>
              </w:rPr>
            </w:pPr>
            <w:r w:rsidRPr="00E054EB">
              <w:rPr>
                <w:rFonts w:eastAsia="Batang"/>
                <w:sz w:val="16"/>
                <w:szCs w:val="16"/>
                <w:lang w:eastAsia="x-none"/>
              </w:rPr>
              <w:t>Specify necessary RAN4 core requirements for LCM procedures including performance monitoring.</w:t>
            </w:r>
          </w:p>
        </w:tc>
      </w:tr>
    </w:tbl>
    <w:p w14:paraId="71D6CBED" w14:textId="455BE46C" w:rsidR="00F37534" w:rsidRPr="00F37534" w:rsidRDefault="0016730C" w:rsidP="00E054EB">
      <w:pPr>
        <w:spacing w:before="120"/>
        <w:rPr>
          <w:lang w:eastAsia="zh-CN"/>
        </w:rPr>
      </w:pPr>
      <w:r>
        <w:rPr>
          <w:lang w:eastAsia="zh-CN"/>
        </w:rPr>
        <w:t xml:space="preserve">It is noticed that RAN1/2 will </w:t>
      </w:r>
      <w:r>
        <w:rPr>
          <w:bCs/>
        </w:rPr>
        <w:t>s</w:t>
      </w:r>
      <w:r w:rsidRPr="00F03FD6">
        <w:rPr>
          <w:bCs/>
        </w:rPr>
        <w:t xml:space="preserve">pecify necessary </w:t>
      </w:r>
      <w:proofErr w:type="spellStart"/>
      <w:r w:rsidRPr="00F03FD6">
        <w:rPr>
          <w:bCs/>
        </w:rPr>
        <w:t>signalling</w:t>
      </w:r>
      <w:proofErr w:type="spellEnd"/>
      <w:r w:rsidRPr="00F03FD6">
        <w:rPr>
          <w:bCs/>
        </w:rPr>
        <w:t xml:space="preserve">/mechanism(s) to facilitate LCM operations specific to the </w:t>
      </w:r>
      <w:r w:rsidR="00C055CC">
        <w:rPr>
          <w:bCs/>
        </w:rPr>
        <w:t>b</w:t>
      </w:r>
      <w:r w:rsidRPr="00F03FD6">
        <w:rPr>
          <w:bCs/>
        </w:rPr>
        <w:t xml:space="preserve">eam </w:t>
      </w:r>
      <w:r w:rsidR="00C055CC">
        <w:rPr>
          <w:bCs/>
        </w:rPr>
        <w:t>m</w:t>
      </w:r>
      <w:r w:rsidRPr="00F03FD6">
        <w:rPr>
          <w:bCs/>
        </w:rPr>
        <w:t>anagement use cases, if any</w:t>
      </w:r>
      <w:r>
        <w:rPr>
          <w:bCs/>
        </w:rPr>
        <w:t xml:space="preserve">. RAN4 can start investigating </w:t>
      </w:r>
      <w:r w:rsidR="00C055CC">
        <w:rPr>
          <w:bCs/>
        </w:rPr>
        <w:t>associated core requi</w:t>
      </w:r>
      <w:r w:rsidR="00A116E1">
        <w:rPr>
          <w:bCs/>
        </w:rPr>
        <w:t>r</w:t>
      </w:r>
      <w:r w:rsidR="00C055CC">
        <w:rPr>
          <w:bCs/>
        </w:rPr>
        <w:t xml:space="preserve">ements </w:t>
      </w:r>
      <w:r>
        <w:rPr>
          <w:bCs/>
        </w:rPr>
        <w:t>after achieving sufficient input from other WGs.</w:t>
      </w:r>
    </w:p>
    <w:p w14:paraId="128A6079" w14:textId="63E63822" w:rsidR="00FE5542" w:rsidRPr="00FE5542" w:rsidRDefault="00FE5542" w:rsidP="00FE5542">
      <w:pPr>
        <w:pStyle w:val="Heading1"/>
        <w:numPr>
          <w:ilvl w:val="0"/>
          <w:numId w:val="8"/>
        </w:numPr>
        <w:ind w:left="426"/>
      </w:pPr>
      <w:r>
        <w:t xml:space="preserve">Test metrics </w:t>
      </w:r>
      <w:r w:rsidRPr="00F10401">
        <w:t xml:space="preserve">for </w:t>
      </w:r>
      <w:r>
        <w:t>beam management</w:t>
      </w:r>
    </w:p>
    <w:tbl>
      <w:tblPr>
        <w:tblStyle w:val="TableGrid"/>
        <w:tblW w:w="0" w:type="auto"/>
        <w:tblLook w:val="04A0" w:firstRow="1" w:lastRow="0" w:firstColumn="1" w:lastColumn="0" w:noHBand="0" w:noVBand="1"/>
      </w:tblPr>
      <w:tblGrid>
        <w:gridCol w:w="9307"/>
      </w:tblGrid>
      <w:tr w:rsidR="00FE5542" w14:paraId="42FBFC54" w14:textId="77777777" w:rsidTr="00B7741A">
        <w:tc>
          <w:tcPr>
            <w:tcW w:w="9307" w:type="dxa"/>
          </w:tcPr>
          <w:p w14:paraId="61A3BA27" w14:textId="77777777" w:rsidR="00FE5542" w:rsidRDefault="00FE5542" w:rsidP="00B7741A">
            <w:pPr>
              <w:ind w:left="60"/>
              <w:rPr>
                <w:rFonts w:eastAsia="Yu Mincho"/>
                <w:sz w:val="16"/>
                <w:szCs w:val="20"/>
                <w:lang w:eastAsia="ja-JP"/>
              </w:rPr>
            </w:pPr>
            <w:r w:rsidRPr="00FE5542">
              <w:rPr>
                <w:rFonts w:eastAsia="Yu Mincho"/>
                <w:sz w:val="16"/>
                <w:szCs w:val="20"/>
                <w:lang w:eastAsia="ja-JP"/>
              </w:rPr>
              <w:t>TR 38.843 [2]:</w:t>
            </w:r>
          </w:p>
          <w:p w14:paraId="61294CD9" w14:textId="77777777" w:rsidR="00FE5542" w:rsidRPr="00FE5542" w:rsidRDefault="00FE5542" w:rsidP="00B7741A">
            <w:pPr>
              <w:spacing w:after="0"/>
              <w:ind w:left="60"/>
              <w:rPr>
                <w:sz w:val="16"/>
                <w:szCs w:val="16"/>
              </w:rPr>
            </w:pPr>
            <w:r w:rsidRPr="00FE5542">
              <w:rPr>
                <w:sz w:val="16"/>
                <w:szCs w:val="16"/>
              </w:rPr>
              <w:t xml:space="preserve">For metrics for beam management </w:t>
            </w:r>
            <w:r w:rsidRPr="00FE5542">
              <w:rPr>
                <w:sz w:val="16"/>
                <w:szCs w:val="16"/>
                <w:lang w:eastAsia="zh-CN"/>
              </w:rPr>
              <w:t>requirements/tests</w:t>
            </w:r>
            <w:r w:rsidRPr="00FE5542">
              <w:rPr>
                <w:sz w:val="16"/>
                <w:szCs w:val="16"/>
              </w:rPr>
              <w:t>, the following test metrics are identified and could be considered</w:t>
            </w:r>
          </w:p>
          <w:p w14:paraId="08760324" w14:textId="77777777" w:rsidR="00FE5542" w:rsidRPr="00FE5542" w:rsidRDefault="00FE5542" w:rsidP="00FE5542">
            <w:pPr>
              <w:pStyle w:val="ListParagraph"/>
              <w:numPr>
                <w:ilvl w:val="0"/>
                <w:numId w:val="45"/>
              </w:numPr>
              <w:rPr>
                <w:rFonts w:ascii="Times New Roman" w:hAnsi="Times New Roman" w:cs="Times New Roman"/>
                <w:sz w:val="16"/>
                <w:szCs w:val="16"/>
              </w:rPr>
            </w:pPr>
            <w:r w:rsidRPr="00FE5542">
              <w:rPr>
                <w:rFonts w:ascii="Times New Roman" w:hAnsi="Times New Roman" w:cs="Times New Roman"/>
                <w:sz w:val="16"/>
                <w:szCs w:val="16"/>
              </w:rPr>
              <w:t>Option 1: RSRP accuracy</w:t>
            </w:r>
          </w:p>
          <w:p w14:paraId="32633B8B" w14:textId="77777777" w:rsidR="00FE5542" w:rsidRPr="00FE5542" w:rsidRDefault="00FE5542" w:rsidP="00FE5542">
            <w:pPr>
              <w:pStyle w:val="ListParagraph"/>
              <w:numPr>
                <w:ilvl w:val="0"/>
                <w:numId w:val="45"/>
              </w:numPr>
              <w:rPr>
                <w:rFonts w:ascii="Times New Roman" w:hAnsi="Times New Roman" w:cs="Times New Roman"/>
                <w:sz w:val="16"/>
                <w:szCs w:val="16"/>
              </w:rPr>
            </w:pPr>
            <w:r w:rsidRPr="00FE5542">
              <w:rPr>
                <w:rFonts w:ascii="Times New Roman" w:hAnsi="Times New Roman" w:cs="Times New Roman"/>
                <w:sz w:val="16"/>
                <w:szCs w:val="16"/>
              </w:rPr>
              <w:t>Option 2: Beam prediction accuracy</w:t>
            </w:r>
          </w:p>
          <w:p w14:paraId="23F01791" w14:textId="6B75DB66" w:rsidR="00FE5542" w:rsidRPr="00FE5542" w:rsidRDefault="00FE5542" w:rsidP="00FE5542">
            <w:pPr>
              <w:pStyle w:val="ListParagraph"/>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Top-1 (%): the percentage of “the Top-1 strongest beam is Top-1 predicted beam”</w:t>
            </w:r>
          </w:p>
          <w:p w14:paraId="4CC4E7DF" w14:textId="236ED9E8" w:rsidR="00FE5542" w:rsidRPr="00FE5542" w:rsidRDefault="00FE5542" w:rsidP="00FE5542">
            <w:pPr>
              <w:pStyle w:val="ListParagraph"/>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Top-K/1 (%): the percentage of “the Top-1 strongest beam is one of the Top-K predicted beams”</w:t>
            </w:r>
          </w:p>
          <w:p w14:paraId="390039D1" w14:textId="6EAA6AE0" w:rsidR="00FE5542" w:rsidRPr="00FE5542" w:rsidRDefault="00FE5542" w:rsidP="00FE5542">
            <w:pPr>
              <w:pStyle w:val="ListParagraph"/>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Top-1/K (%): the percentage of “the Top-1 predicted beam is one of the Top-K strongest beams”</w:t>
            </w:r>
          </w:p>
          <w:p w14:paraId="58B6DEAA" w14:textId="77777777" w:rsidR="00FE5542" w:rsidRPr="00FE5542" w:rsidRDefault="00FE5542" w:rsidP="00FE5542">
            <w:pPr>
              <w:pStyle w:val="ListParagraph"/>
              <w:numPr>
                <w:ilvl w:val="0"/>
                <w:numId w:val="45"/>
              </w:numPr>
              <w:rPr>
                <w:rFonts w:ascii="Times New Roman" w:hAnsi="Times New Roman" w:cs="Times New Roman"/>
                <w:sz w:val="16"/>
                <w:szCs w:val="16"/>
              </w:rPr>
            </w:pPr>
            <w:r w:rsidRPr="00FE5542">
              <w:rPr>
                <w:rFonts w:ascii="Times New Roman" w:hAnsi="Times New Roman" w:cs="Times New Roman"/>
                <w:sz w:val="16"/>
                <w:szCs w:val="16"/>
              </w:rPr>
              <w:t xml:space="preserve">Option 3: The successful rate for the correct prediction which is considered as maximum RSRP among top-K predicted beams is larger than the RSRP of the strongest beam – x dB, </w:t>
            </w:r>
          </w:p>
          <w:p w14:paraId="7A89147E" w14:textId="77777777" w:rsidR="00FE5542" w:rsidRPr="00FE5542" w:rsidRDefault="00FE5542" w:rsidP="00FE5542">
            <w:pPr>
              <w:pStyle w:val="ListParagraph"/>
              <w:numPr>
                <w:ilvl w:val="1"/>
                <w:numId w:val="46"/>
              </w:numPr>
              <w:overflowPunct w:val="0"/>
              <w:autoSpaceDE w:val="0"/>
              <w:autoSpaceDN w:val="0"/>
              <w:adjustRightInd w:val="0"/>
              <w:ind w:left="1519" w:hanging="442"/>
              <w:textAlignment w:val="baseline"/>
              <w:rPr>
                <w:rFonts w:ascii="Times New Roman" w:hAnsi="Times New Roman" w:cs="Times New Roman"/>
                <w:sz w:val="16"/>
                <w:szCs w:val="16"/>
              </w:rPr>
            </w:pPr>
            <w:r w:rsidRPr="00FE5542">
              <w:rPr>
                <w:rFonts w:ascii="Times New Roman" w:hAnsi="Times New Roman" w:cs="Times New Roman"/>
                <w:sz w:val="16"/>
                <w:szCs w:val="16"/>
              </w:rPr>
              <w:t>Related measurement accuracy can be considered to determine x</w:t>
            </w:r>
          </w:p>
          <w:p w14:paraId="77E425D3" w14:textId="77777777" w:rsidR="00FE5542" w:rsidRPr="00FE5542" w:rsidRDefault="00FE5542" w:rsidP="00FE5542">
            <w:pPr>
              <w:pStyle w:val="ListParagraph"/>
              <w:numPr>
                <w:ilvl w:val="0"/>
                <w:numId w:val="45"/>
              </w:numPr>
              <w:rPr>
                <w:rFonts w:ascii="Times New Roman" w:hAnsi="Times New Roman" w:cs="Times New Roman"/>
                <w:sz w:val="16"/>
                <w:szCs w:val="16"/>
              </w:rPr>
            </w:pPr>
            <w:r w:rsidRPr="00FE5542">
              <w:rPr>
                <w:rFonts w:ascii="Times New Roman" w:hAnsi="Times New Roman" w:cs="Times New Roman"/>
                <w:sz w:val="16"/>
                <w:szCs w:val="16"/>
              </w:rPr>
              <w:t>Option 4: combinations of above options</w:t>
            </w:r>
          </w:p>
          <w:p w14:paraId="068BF9D4" w14:textId="77777777" w:rsidR="00FE5542" w:rsidRPr="00FE5542" w:rsidRDefault="00FE5542" w:rsidP="00B7741A">
            <w:pPr>
              <w:spacing w:after="0"/>
              <w:rPr>
                <w:lang w:eastAsia="ja-JP"/>
              </w:rPr>
            </w:pPr>
            <w:r w:rsidRPr="00FE5542">
              <w:rPr>
                <w:sz w:val="16"/>
                <w:szCs w:val="16"/>
                <w:lang w:eastAsia="ja-JP"/>
              </w:rPr>
              <w:t>The overhead/latency reduction should be considered for the requirements as the side condition.</w:t>
            </w:r>
            <w:r w:rsidRPr="00887419">
              <w:rPr>
                <w:lang w:eastAsia="ja-JP"/>
              </w:rPr>
              <w:t xml:space="preserve"> </w:t>
            </w:r>
          </w:p>
        </w:tc>
      </w:tr>
    </w:tbl>
    <w:p w14:paraId="031D42D0" w14:textId="33A366C5" w:rsidR="00FE5542" w:rsidRPr="00FE5542" w:rsidRDefault="00FE5542" w:rsidP="00FE5542">
      <w:pPr>
        <w:pStyle w:val="ListParagraph"/>
        <w:numPr>
          <w:ilvl w:val="0"/>
          <w:numId w:val="47"/>
        </w:numPr>
        <w:spacing w:before="120"/>
        <w:rPr>
          <w:rFonts w:ascii="Times New Roman" w:hAnsi="Times New Roman" w:cs="Times New Roman"/>
        </w:rPr>
      </w:pPr>
      <w:r w:rsidRPr="00FE5542">
        <w:rPr>
          <w:rFonts w:ascii="Times New Roman" w:hAnsi="Times New Roman" w:cs="Times New Roman"/>
        </w:rPr>
        <w:t>NW-sided model</w:t>
      </w:r>
    </w:p>
    <w:p w14:paraId="071ACFA9" w14:textId="7BE3491C" w:rsidR="00FE5542" w:rsidRDefault="00FE5542" w:rsidP="00FE5542">
      <w:pPr>
        <w:spacing w:before="120"/>
        <w:rPr>
          <w:lang w:eastAsia="zh-CN"/>
        </w:rPr>
      </w:pPr>
      <w:r>
        <w:rPr>
          <w:lang w:eastAsia="zh-CN"/>
        </w:rPr>
        <w:t xml:space="preserve">For NW-sided beam prediction, the UE is required to report Top-K RSRP of beams within Set B. </w:t>
      </w:r>
      <w:r w:rsidR="0036790C">
        <w:rPr>
          <w:lang w:eastAsia="zh-CN"/>
        </w:rPr>
        <w:t>The requirement of RSRP measurement reporting can reuse RAN4 legacy.</w:t>
      </w:r>
    </w:p>
    <w:p w14:paraId="0676172E" w14:textId="2B130318" w:rsidR="0036790C" w:rsidRPr="008F762A" w:rsidRDefault="0036790C" w:rsidP="0036790C">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For NW-sided beam prediction</w:t>
      </w:r>
      <w:r>
        <w:rPr>
          <w:b/>
          <w:i/>
        </w:rPr>
        <w:t xml:space="preserve">, the </w:t>
      </w:r>
      <w:r w:rsidRPr="0036790C">
        <w:rPr>
          <w:b/>
          <w:i/>
        </w:rPr>
        <w:t>requirement of RSRP measurement reporting reuse</w:t>
      </w:r>
      <w:r w:rsidR="00A116E1">
        <w:rPr>
          <w:b/>
          <w:i/>
        </w:rPr>
        <w:t>s</w:t>
      </w:r>
      <w:r w:rsidRPr="0036790C">
        <w:rPr>
          <w:b/>
          <w:i/>
        </w:rPr>
        <w:t xml:space="preserve"> RAN4 legacy</w:t>
      </w:r>
      <w:r>
        <w:rPr>
          <w:b/>
          <w:i/>
        </w:rPr>
        <w:t>.</w:t>
      </w:r>
    </w:p>
    <w:p w14:paraId="43E5161B" w14:textId="25A9A925" w:rsidR="0036790C" w:rsidRPr="00FE5542" w:rsidRDefault="0036790C" w:rsidP="0036790C">
      <w:pPr>
        <w:pStyle w:val="ListParagraph"/>
        <w:numPr>
          <w:ilvl w:val="0"/>
          <w:numId w:val="47"/>
        </w:numPr>
        <w:spacing w:before="120"/>
        <w:rPr>
          <w:rFonts w:ascii="Times New Roman" w:hAnsi="Times New Roman" w:cs="Times New Roman"/>
        </w:rPr>
      </w:pPr>
      <w:r>
        <w:rPr>
          <w:rFonts w:ascii="Times New Roman" w:hAnsi="Times New Roman" w:cs="Times New Roman"/>
        </w:rPr>
        <w:t>UE</w:t>
      </w:r>
      <w:r w:rsidRPr="00FE5542">
        <w:rPr>
          <w:rFonts w:ascii="Times New Roman" w:hAnsi="Times New Roman" w:cs="Times New Roman"/>
        </w:rPr>
        <w:t>-sided model</w:t>
      </w:r>
    </w:p>
    <w:p w14:paraId="5E466901" w14:textId="77777777" w:rsidR="0036790C" w:rsidRDefault="0036790C" w:rsidP="00FE5542">
      <w:pPr>
        <w:spacing w:before="120"/>
        <w:rPr>
          <w:lang w:eastAsia="zh-CN"/>
        </w:rPr>
      </w:pPr>
      <w:r>
        <w:rPr>
          <w:lang w:eastAsia="zh-CN"/>
        </w:rPr>
        <w:t>For UE-sided beam prediction, the UE may report the predicted Top-K beam index, or the Top-K beam index with associated RSRP of beams within Set A. The content and format of report will be specified in other WGs.</w:t>
      </w:r>
    </w:p>
    <w:p w14:paraId="3AE5ED8D" w14:textId="1E60DCA8" w:rsidR="0036790C" w:rsidRDefault="0036790C" w:rsidP="00FE5542">
      <w:pPr>
        <w:spacing w:before="120"/>
        <w:rPr>
          <w:lang w:eastAsia="zh-CN"/>
        </w:rPr>
      </w:pPr>
      <w:r>
        <w:rPr>
          <w:lang w:eastAsia="zh-CN"/>
        </w:rPr>
        <w:t xml:space="preserve">Independent of the details in predicted reporting, Option 1 is testable if the consistency </w:t>
      </w:r>
      <w:r w:rsidRPr="0036790C">
        <w:rPr>
          <w:lang w:eastAsia="zh-CN"/>
        </w:rPr>
        <w:t>between training and inference</w:t>
      </w:r>
      <w:r>
        <w:rPr>
          <w:lang w:eastAsia="zh-CN"/>
        </w:rPr>
        <w:t xml:space="preserve"> can be ensured. Since compared to Options 2 and 3, </w:t>
      </w:r>
      <w:r w:rsidR="009B100F">
        <w:rPr>
          <w:lang w:eastAsia="zh-CN"/>
        </w:rPr>
        <w:t xml:space="preserve">in Option 1, </w:t>
      </w:r>
      <w:r>
        <w:rPr>
          <w:lang w:eastAsia="zh-CN"/>
        </w:rPr>
        <w:t xml:space="preserve">there is no need to </w:t>
      </w:r>
      <w:r w:rsidR="009B100F">
        <w:rPr>
          <w:lang w:eastAsia="zh-CN"/>
        </w:rPr>
        <w:t>obtain</w:t>
      </w:r>
      <w:r>
        <w:rPr>
          <w:lang w:eastAsia="zh-CN"/>
        </w:rPr>
        <w:t xml:space="preserve"> the ground truth of the best beam ID or the largest RSRP. </w:t>
      </w:r>
      <w:r w:rsidR="008808A5">
        <w:rPr>
          <w:lang w:eastAsia="zh-CN"/>
        </w:rPr>
        <w:t xml:space="preserve">The test methodology </w:t>
      </w:r>
      <w:r w:rsidR="009B100F">
        <w:rPr>
          <w:lang w:eastAsia="zh-CN"/>
        </w:rPr>
        <w:t>could</w:t>
      </w:r>
      <w:r w:rsidR="008808A5">
        <w:rPr>
          <w:lang w:eastAsia="zh-CN"/>
        </w:rPr>
        <w:t xml:space="preserve"> be that the TE uses the beams that are predicted by DUT </w:t>
      </w:r>
      <w:r w:rsidR="009B100F">
        <w:rPr>
          <w:lang w:eastAsia="zh-CN"/>
        </w:rPr>
        <w:t>for transmission</w:t>
      </w:r>
      <w:r w:rsidR="008808A5">
        <w:rPr>
          <w:lang w:eastAsia="zh-CN"/>
        </w:rPr>
        <w:t xml:space="preserve">. The DUT passes the test if the received RSRP is larger than a pre-defined threshold. </w:t>
      </w:r>
    </w:p>
    <w:p w14:paraId="2108BA28" w14:textId="136A8511" w:rsidR="00237CF0" w:rsidRPr="008F762A" w:rsidRDefault="00237CF0" w:rsidP="00237CF0">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Pr>
          <w:b/>
          <w:i/>
        </w:rPr>
        <w:t>For UE-sided beam prediction, take Option 1 as baseline to ensure that the received RSRP is larger than a pre-defined threshold, if TE use</w:t>
      </w:r>
      <w:r w:rsidR="00A116E1">
        <w:rPr>
          <w:b/>
          <w:i/>
        </w:rPr>
        <w:t>s</w:t>
      </w:r>
      <w:r>
        <w:rPr>
          <w:b/>
          <w:i/>
        </w:rPr>
        <w:t xml:space="preserve"> the predicted beam for DL transmission.</w:t>
      </w:r>
    </w:p>
    <w:p w14:paraId="3393453C" w14:textId="77777777" w:rsidR="00303329" w:rsidRDefault="009B100F" w:rsidP="00FE5542">
      <w:pPr>
        <w:spacing w:before="120"/>
        <w:rPr>
          <w:lang w:eastAsia="zh-CN"/>
        </w:rPr>
      </w:pPr>
      <w:r>
        <w:rPr>
          <w:lang w:eastAsia="zh-CN"/>
        </w:rPr>
        <w:t xml:space="preserve">It is known that tolerances are specified regarding UE measurement accuracy in RAN4. This tolerance has an impact on the beam prediction accuracy. </w:t>
      </w:r>
    </w:p>
    <w:p w14:paraId="0D966BC5" w14:textId="2B578B2D" w:rsidR="0036790C" w:rsidRDefault="00303329" w:rsidP="00FE5542">
      <w:pPr>
        <w:spacing w:before="120"/>
        <w:rPr>
          <w:lang w:eastAsia="zh-CN"/>
        </w:rPr>
      </w:pPr>
      <w:r>
        <w:rPr>
          <w:lang w:eastAsia="zh-CN"/>
        </w:rPr>
        <w:t>The test metric</w:t>
      </w:r>
      <w:r w:rsidRPr="009B100F">
        <w:rPr>
          <w:lang w:eastAsia="zh-CN"/>
        </w:rPr>
        <w:t xml:space="preserve"> </w:t>
      </w:r>
      <w:r>
        <w:rPr>
          <w:lang w:eastAsia="zh-CN"/>
        </w:rPr>
        <w:t>in Option 2 is not applicable if the beam measurement accuracy tolerance is not considered. For example</w:t>
      </w:r>
      <w:r w:rsidR="009B100F">
        <w:rPr>
          <w:lang w:eastAsia="zh-CN"/>
        </w:rPr>
        <w:t xml:space="preserve">, the test metric - </w:t>
      </w:r>
      <w:r w:rsidR="009B100F" w:rsidRPr="009B100F">
        <w:rPr>
          <w:lang w:eastAsia="zh-CN"/>
        </w:rPr>
        <w:t>Top-1 (%)</w:t>
      </w:r>
      <w:r w:rsidR="009B100F">
        <w:rPr>
          <w:lang w:eastAsia="zh-CN"/>
        </w:rPr>
        <w:t xml:space="preserve"> b</w:t>
      </w:r>
      <w:r w:rsidR="009B100F" w:rsidRPr="009B100F">
        <w:rPr>
          <w:lang w:eastAsia="zh-CN"/>
        </w:rPr>
        <w:t>eam prediction accuracy</w:t>
      </w:r>
      <w:r w:rsidR="009B100F">
        <w:rPr>
          <w:lang w:eastAsia="zh-CN"/>
        </w:rPr>
        <w:t xml:space="preserve"> - </w:t>
      </w:r>
      <w:r w:rsidR="009B100F" w:rsidRPr="009B100F">
        <w:rPr>
          <w:lang w:eastAsia="zh-CN"/>
        </w:rPr>
        <w:t xml:space="preserve">is not applicable if the </w:t>
      </w:r>
      <w:r w:rsidR="009B100F">
        <w:rPr>
          <w:lang w:eastAsia="zh-CN"/>
        </w:rPr>
        <w:t xml:space="preserve">RSRP difference between the </w:t>
      </w:r>
      <w:r w:rsidR="009B100F" w:rsidRPr="009B100F">
        <w:rPr>
          <w:lang w:eastAsia="zh-CN"/>
        </w:rPr>
        <w:t xml:space="preserve">predicted </w:t>
      </w:r>
      <w:r w:rsidR="00A116E1">
        <w:rPr>
          <w:lang w:eastAsia="zh-CN"/>
        </w:rPr>
        <w:t xml:space="preserve">Top-1 </w:t>
      </w:r>
      <w:r w:rsidR="009B100F" w:rsidRPr="009B100F">
        <w:rPr>
          <w:lang w:eastAsia="zh-CN"/>
        </w:rPr>
        <w:t>beam</w:t>
      </w:r>
      <w:r w:rsidR="009B100F">
        <w:rPr>
          <w:lang w:eastAsia="zh-CN"/>
        </w:rPr>
        <w:t xml:space="preserve"> and the genie-aided strongest</w:t>
      </w:r>
      <w:r w:rsidR="009B100F" w:rsidRPr="009B100F">
        <w:rPr>
          <w:lang w:eastAsia="zh-CN"/>
        </w:rPr>
        <w:t xml:space="preserve"> </w:t>
      </w:r>
      <w:r w:rsidR="009B100F">
        <w:rPr>
          <w:lang w:eastAsia="zh-CN"/>
        </w:rPr>
        <w:t>beam</w:t>
      </w:r>
      <w:r w:rsidR="009B100F" w:rsidRPr="009B100F">
        <w:rPr>
          <w:lang w:eastAsia="zh-CN"/>
        </w:rPr>
        <w:t xml:space="preserve"> is within the</w:t>
      </w:r>
      <w:r w:rsidR="009B100F">
        <w:rPr>
          <w:lang w:eastAsia="zh-CN"/>
        </w:rPr>
        <w:t xml:space="preserve"> pre-defined</w:t>
      </w:r>
      <w:r w:rsidR="009B100F" w:rsidRPr="009B100F">
        <w:rPr>
          <w:lang w:eastAsia="zh-CN"/>
        </w:rPr>
        <w:t xml:space="preserve"> tolerance</w:t>
      </w:r>
      <w:r>
        <w:rPr>
          <w:lang w:eastAsia="zh-CN"/>
        </w:rPr>
        <w:t>, though the predicted Top-1 is not the genie-aided Top-1</w:t>
      </w:r>
      <w:r w:rsidR="009B100F">
        <w:rPr>
          <w:lang w:eastAsia="zh-CN"/>
        </w:rPr>
        <w:t>.</w:t>
      </w:r>
      <w:r>
        <w:rPr>
          <w:lang w:eastAsia="zh-CN"/>
        </w:rPr>
        <w:t xml:space="preserve"> </w:t>
      </w:r>
    </w:p>
    <w:p w14:paraId="418E6714" w14:textId="20AA87E8" w:rsidR="00303329" w:rsidRDefault="00303329" w:rsidP="00FE5542">
      <w:pPr>
        <w:spacing w:before="120"/>
        <w:rPr>
          <w:lang w:eastAsia="zh-CN"/>
        </w:rPr>
      </w:pPr>
      <w:r>
        <w:rPr>
          <w:lang w:eastAsia="zh-CN"/>
        </w:rPr>
        <w:t>Since the eventual purpose of introducing AIML-enabled beam management is to select a good-enough beam</w:t>
      </w:r>
      <w:r w:rsidR="00A116E1">
        <w:rPr>
          <w:lang w:eastAsia="zh-CN"/>
        </w:rPr>
        <w:t xml:space="preserve"> for DL transmission</w:t>
      </w:r>
      <w:r>
        <w:rPr>
          <w:lang w:eastAsia="zh-CN"/>
        </w:rPr>
        <w:t xml:space="preserve">, while achieving overhead/latency reduction, </w:t>
      </w:r>
      <w:r w:rsidR="00A116E1">
        <w:rPr>
          <w:lang w:eastAsia="zh-CN"/>
        </w:rPr>
        <w:t xml:space="preserve">the test metric in </w:t>
      </w:r>
      <w:r>
        <w:rPr>
          <w:lang w:eastAsia="zh-CN"/>
        </w:rPr>
        <w:t xml:space="preserve">Option 2 is suggested to be deprioritized. </w:t>
      </w:r>
    </w:p>
    <w:p w14:paraId="3F348543" w14:textId="1F09D9D0" w:rsidR="00303329" w:rsidRPr="00303329" w:rsidRDefault="00303329" w:rsidP="00FE5542">
      <w:pPr>
        <w:spacing w:before="120"/>
        <w:rPr>
          <w:lang w:eastAsia="zh-CN"/>
        </w:rPr>
      </w:pPr>
      <w:r>
        <w:rPr>
          <w:b/>
          <w:i/>
          <w:u w:val="single"/>
        </w:rPr>
        <w:t>Observation</w:t>
      </w:r>
      <w:r w:rsidRPr="000C24BB">
        <w:rPr>
          <w:b/>
          <w:i/>
          <w:u w:val="single"/>
        </w:rPr>
        <w:t xml:space="preserve"> </w:t>
      </w:r>
      <w:r>
        <w:rPr>
          <w:b/>
          <w:i/>
          <w:u w:val="single"/>
        </w:rPr>
        <w:t>1</w:t>
      </w:r>
      <w:r w:rsidRPr="00907772">
        <w:rPr>
          <w:b/>
          <w:i/>
        </w:rPr>
        <w:t>:</w:t>
      </w:r>
      <w:r>
        <w:t xml:space="preserve"> </w:t>
      </w:r>
      <w:r w:rsidRPr="00303329">
        <w:rPr>
          <w:b/>
          <w:i/>
        </w:rPr>
        <w:t>The test metric in Option 2 is not applicable if the beam measurement accuracy tolerance is not considered.</w:t>
      </w:r>
    </w:p>
    <w:p w14:paraId="505BA9AC" w14:textId="5F46EE65" w:rsidR="00FE5542" w:rsidRPr="00FE5542" w:rsidRDefault="00303329" w:rsidP="00FE5542">
      <w:pPr>
        <w:spacing w:before="12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Pr>
          <w:b/>
          <w:i/>
        </w:rPr>
        <w:t>For UE-sided beam prediction, deprioritize the test metric of b</w:t>
      </w:r>
      <w:r w:rsidRPr="00303329">
        <w:rPr>
          <w:b/>
          <w:i/>
        </w:rPr>
        <w:t>eam prediction accuracy</w:t>
      </w:r>
      <w:r>
        <w:rPr>
          <w:b/>
          <w:i/>
        </w:rPr>
        <w:t xml:space="preserve"> in Option 2.</w:t>
      </w:r>
    </w:p>
    <w:p w14:paraId="4B8D1E3D" w14:textId="6305A326" w:rsidR="00680719" w:rsidRDefault="000C3F23" w:rsidP="00FE5542">
      <w:pPr>
        <w:pStyle w:val="Heading1"/>
        <w:numPr>
          <w:ilvl w:val="0"/>
          <w:numId w:val="8"/>
        </w:numPr>
        <w:ind w:left="426"/>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0DD7C9AD" w14:textId="4E62CAE4" w:rsidR="002B5288" w:rsidRPr="002B5288" w:rsidRDefault="002B5288" w:rsidP="002B5288">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2B5288">
        <w:t>For NW-sided beam prediction, the requirement of RSRP measurement reporting reuse</w:t>
      </w:r>
      <w:r w:rsidR="00754B94">
        <w:t>s</w:t>
      </w:r>
      <w:r w:rsidRPr="002B5288">
        <w:t xml:space="preserve"> RAN4 legacy.</w:t>
      </w:r>
    </w:p>
    <w:p w14:paraId="5A4F6215" w14:textId="2B78E1D3" w:rsidR="002B5288" w:rsidRPr="002B5288" w:rsidRDefault="002B5288" w:rsidP="002B5288">
      <w:pPr>
        <w:spacing w:before="120"/>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2B5288">
        <w:t>For UE-sided beam prediction, take Option 1 as baseline to ensure that the received RSRP is larger than a pre-defined threshold, if TE use</w:t>
      </w:r>
      <w:r w:rsidR="00754B94">
        <w:t>s</w:t>
      </w:r>
      <w:r w:rsidRPr="002B5288">
        <w:t xml:space="preserve"> the predicted beam for DL transmission.</w:t>
      </w:r>
    </w:p>
    <w:p w14:paraId="59BED748" w14:textId="77777777" w:rsidR="002B5288" w:rsidRPr="002B5288" w:rsidRDefault="002B5288" w:rsidP="002B5288">
      <w:pPr>
        <w:spacing w:before="120"/>
        <w:rPr>
          <w:lang w:eastAsia="zh-CN"/>
        </w:rPr>
      </w:pPr>
      <w:r>
        <w:rPr>
          <w:b/>
          <w:i/>
          <w:u w:val="single"/>
        </w:rPr>
        <w:t>Observation</w:t>
      </w:r>
      <w:r w:rsidRPr="000C24BB">
        <w:rPr>
          <w:b/>
          <w:i/>
          <w:u w:val="single"/>
        </w:rPr>
        <w:t xml:space="preserve"> </w:t>
      </w:r>
      <w:r>
        <w:rPr>
          <w:b/>
          <w:i/>
          <w:u w:val="single"/>
        </w:rPr>
        <w:t>1</w:t>
      </w:r>
      <w:r w:rsidRPr="00907772">
        <w:rPr>
          <w:b/>
          <w:i/>
        </w:rPr>
        <w:t>:</w:t>
      </w:r>
      <w:r>
        <w:t xml:space="preserve"> </w:t>
      </w:r>
      <w:r w:rsidRPr="002B5288">
        <w:t>The test metric in Option 2 is not applicable if the beam measurement accuracy tolerance is not considered.</w:t>
      </w:r>
    </w:p>
    <w:p w14:paraId="1E38C987" w14:textId="3A4AC5C6" w:rsidR="00275345" w:rsidRPr="002B5288" w:rsidRDefault="002B5288" w:rsidP="002B5288">
      <w:pPr>
        <w:spacing w:before="12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2B5288">
        <w:t>For UE-sided beam prediction, deprioritize the test metric of beam prediction accuracy in Option 2.</w:t>
      </w:r>
    </w:p>
    <w:p w14:paraId="4AD735CD" w14:textId="4920B2C7" w:rsidR="000C3F23" w:rsidRPr="00C73DC3" w:rsidRDefault="000C3F23" w:rsidP="00FD734D">
      <w:pPr>
        <w:pStyle w:val="Heading1"/>
        <w:ind w:left="6"/>
      </w:pPr>
      <w:r w:rsidRPr="00EE2AB0">
        <w:rPr>
          <w:color w:val="000000"/>
        </w:rPr>
        <w:t>References</w:t>
      </w:r>
    </w:p>
    <w:p w14:paraId="4491F0CE" w14:textId="77777777" w:rsidR="001204FE" w:rsidRDefault="001204FE" w:rsidP="001204FE">
      <w:pPr>
        <w:pStyle w:val="ListParagraph"/>
        <w:numPr>
          <w:ilvl w:val="0"/>
          <w:numId w:val="14"/>
        </w:numPr>
        <w:jc w:val="both"/>
        <w:rPr>
          <w:rFonts w:ascii="Times New Roman" w:eastAsia="宋体" w:hAnsi="Times New Roman" w:cs="Times New Roman"/>
          <w:lang w:val="en-GB"/>
        </w:rPr>
      </w:pPr>
      <w:bookmarkStart w:id="4"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P</w:t>
      </w:r>
      <w:r w:rsidRPr="00867443">
        <w:rPr>
          <w:rFonts w:ascii="Times New Roman" w:eastAsia="宋体" w:hAnsi="Times New Roman" w:cs="Times New Roman"/>
          <w:lang w:val="en-GB"/>
        </w:rPr>
        <w:t>-23</w:t>
      </w:r>
      <w:r>
        <w:rPr>
          <w:rFonts w:ascii="Times New Roman" w:eastAsia="宋体" w:hAnsi="Times New Roman" w:cs="Times New Roman"/>
          <w:lang w:val="en-GB"/>
        </w:rPr>
        <w:t xml:space="preserve">4039, </w:t>
      </w:r>
      <w:r w:rsidRPr="00BA08E3">
        <w:rPr>
          <w:rFonts w:eastAsia="宋体"/>
          <w:lang w:val="en-GB"/>
        </w:rPr>
        <w:t>“</w:t>
      </w:r>
      <w:r w:rsidRPr="00C53713">
        <w:rPr>
          <w:rFonts w:ascii="Times New Roman" w:eastAsia="宋体" w:hAnsi="Times New Roman" w:cs="Times New Roman"/>
          <w:lang w:val="en-GB"/>
        </w:rPr>
        <w:t>New WID on Artificial Intelligence (AI)/Machine Learning (ML) for NR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P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102,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p w14:paraId="22A9D463" w14:textId="16DA6DED" w:rsidR="002053C1" w:rsidRPr="001204FE" w:rsidRDefault="001204FE" w:rsidP="00FD734D">
      <w:pPr>
        <w:pStyle w:val="ListParagraph"/>
        <w:numPr>
          <w:ilvl w:val="0"/>
          <w:numId w:val="14"/>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bookmarkEnd w:id="4"/>
    </w:p>
    <w:sectPr w:rsidR="002053C1" w:rsidRPr="001204FE"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DE06D" w14:textId="77777777" w:rsidR="00C275ED" w:rsidRDefault="00C275ED">
      <w:r>
        <w:separator/>
      </w:r>
    </w:p>
  </w:endnote>
  <w:endnote w:type="continuationSeparator" w:id="0">
    <w:p w14:paraId="3B5061CB" w14:textId="77777777" w:rsidR="00C275ED" w:rsidRDefault="00C275ED">
      <w:r>
        <w:continuationSeparator/>
      </w:r>
    </w:p>
  </w:endnote>
  <w:endnote w:type="continuationNotice" w:id="1">
    <w:p w14:paraId="2E991664" w14:textId="77777777" w:rsidR="00C275ED" w:rsidRDefault="00C275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8318D" w14:textId="77777777" w:rsidR="00C275ED" w:rsidRDefault="00C275ED">
      <w:r>
        <w:separator/>
      </w:r>
    </w:p>
  </w:footnote>
  <w:footnote w:type="continuationSeparator" w:id="0">
    <w:p w14:paraId="097C6B63" w14:textId="77777777" w:rsidR="00C275ED" w:rsidRDefault="00C275ED">
      <w:r>
        <w:continuationSeparator/>
      </w:r>
    </w:p>
  </w:footnote>
  <w:footnote w:type="continuationNotice" w:id="1">
    <w:p w14:paraId="2C65D142" w14:textId="77777777" w:rsidR="00C275ED" w:rsidRDefault="00C275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241C58"/>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9"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81E64"/>
    <w:multiLevelType w:val="hybridMultilevel"/>
    <w:tmpl w:val="193EB1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6"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9"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2"/>
  </w:num>
  <w:num w:numId="2">
    <w:abstractNumId w:val="40"/>
  </w:num>
  <w:num w:numId="3">
    <w:abstractNumId w:val="5"/>
  </w:num>
  <w:num w:numId="4">
    <w:abstractNumId w:val="21"/>
  </w:num>
  <w:num w:numId="5">
    <w:abstractNumId w:val="23"/>
  </w:num>
  <w:num w:numId="6">
    <w:abstractNumId w:val="17"/>
  </w:num>
  <w:num w:numId="7">
    <w:abstractNumId w:val="3"/>
  </w:num>
  <w:num w:numId="8">
    <w:abstractNumId w:val="38"/>
  </w:num>
  <w:num w:numId="9">
    <w:abstractNumId w:val="19"/>
  </w:num>
  <w:num w:numId="10">
    <w:abstractNumId w:val="35"/>
  </w:num>
  <w:num w:numId="11">
    <w:abstractNumId w:val="39"/>
  </w:num>
  <w:num w:numId="12">
    <w:abstractNumId w:val="14"/>
  </w:num>
  <w:num w:numId="13">
    <w:abstractNumId w:val="26"/>
  </w:num>
  <w:num w:numId="14">
    <w:abstractNumId w:val="7"/>
  </w:num>
  <w:num w:numId="15">
    <w:abstractNumId w:val="10"/>
  </w:num>
  <w:num w:numId="16">
    <w:abstractNumId w:val="44"/>
  </w:num>
  <w:num w:numId="17">
    <w:abstractNumId w:val="27"/>
  </w:num>
  <w:num w:numId="18">
    <w:abstractNumId w:val="13"/>
  </w:num>
  <w:num w:numId="19">
    <w:abstractNumId w:val="4"/>
  </w:num>
  <w:num w:numId="20">
    <w:abstractNumId w:val="20"/>
  </w:num>
  <w:num w:numId="21">
    <w:abstractNumId w:val="43"/>
  </w:num>
  <w:num w:numId="22">
    <w:abstractNumId w:val="41"/>
  </w:num>
  <w:num w:numId="23">
    <w:abstractNumId w:val="34"/>
  </w:num>
  <w:num w:numId="24">
    <w:abstractNumId w:val="0"/>
  </w:num>
  <w:num w:numId="25">
    <w:abstractNumId w:val="1"/>
  </w:num>
  <w:num w:numId="26">
    <w:abstractNumId w:val="1"/>
  </w:num>
  <w:num w:numId="27">
    <w:abstractNumId w:val="1"/>
  </w:num>
  <w:num w:numId="28">
    <w:abstractNumId w:val="37"/>
  </w:num>
  <w:num w:numId="29">
    <w:abstractNumId w:val="6"/>
  </w:num>
  <w:num w:numId="30">
    <w:abstractNumId w:val="12"/>
  </w:num>
  <w:num w:numId="31">
    <w:abstractNumId w:val="24"/>
  </w:num>
  <w:num w:numId="32">
    <w:abstractNumId w:val="36"/>
  </w:num>
  <w:num w:numId="33">
    <w:abstractNumId w:val="16"/>
  </w:num>
  <w:num w:numId="34">
    <w:abstractNumId w:val="18"/>
  </w:num>
  <w:num w:numId="35">
    <w:abstractNumId w:val="29"/>
  </w:num>
  <w:num w:numId="36">
    <w:abstractNumId w:val="45"/>
  </w:num>
  <w:num w:numId="37">
    <w:abstractNumId w:val="32"/>
  </w:num>
  <w:num w:numId="38">
    <w:abstractNumId w:val="15"/>
  </w:num>
  <w:num w:numId="39">
    <w:abstractNumId w:val="9"/>
  </w:num>
  <w:num w:numId="40">
    <w:abstractNumId w:val="31"/>
  </w:num>
  <w:num w:numId="41">
    <w:abstractNumId w:val="11"/>
  </w:num>
  <w:num w:numId="42">
    <w:abstractNumId w:val="28"/>
  </w:num>
  <w:num w:numId="43">
    <w:abstractNumId w:val="2"/>
  </w:num>
  <w:num w:numId="44">
    <w:abstractNumId w:val="8"/>
  </w:num>
  <w:num w:numId="45">
    <w:abstractNumId w:val="33"/>
  </w:num>
  <w:num w:numId="46">
    <w:abstractNumId w:val="25"/>
  </w:num>
  <w:num w:numId="47">
    <w:abstractNumId w:val="22"/>
  </w:num>
  <w:num w:numId="48">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42"/>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4FE"/>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30C"/>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7E5"/>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CF0"/>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288"/>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329"/>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0C"/>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5C"/>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D71"/>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4"/>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848"/>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8A5"/>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1A6"/>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0F"/>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6E1"/>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B84"/>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81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8FC"/>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7DA"/>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5CC"/>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5ED"/>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BC"/>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003"/>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063"/>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4EB"/>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42"/>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528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1117F1-066A-4931-9349-4367501450B9}">
  <ds:schemaRefs>
    <ds:schemaRef ds:uri="http://schemas.openxmlformats.org/officeDocument/2006/bibliography"/>
  </ds:schemaRefs>
</ds:datastoreItem>
</file>

<file path=customXml/itemProps2.xml><?xml version="1.0" encoding="utf-8"?>
<ds:datastoreItem xmlns:ds="http://schemas.openxmlformats.org/officeDocument/2006/customXml" ds:itemID="{9BA5C51C-ADB0-414D-B1C5-7B3FCA607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29</cp:revision>
  <cp:lastPrinted>2019-11-08T22:53:00Z</cp:lastPrinted>
  <dcterms:created xsi:type="dcterms:W3CDTF">2023-09-27T13:33:00Z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(3)vn0vIy83rtXVFWbGsDjFTYh0lSPb8AFdetUvxMesjTNwBnIXeni8D8busLKqpf/mRZyOfs8Y
KLABXL78bYKSqaCe3mzmG8CX+TfJ2wOfg/Cu0Xg60xjMqbQxd6gYkbXT43PobLkx1kyZs6NR
Wa36RUZsq2Hswlhrfjlh7u4KunNSz2RmnL3RP+KLB5tnGF/VR3gKqU8t7FF3ND21/0/SswQe
EyJzwHusaP463LDgUQ</vt:lpwstr>
  </property>
  <property fmtid="{D5CDD505-2E9C-101B-9397-08002B2CF9AE}" pid="30" name="_2015_ms_pID_725343_00">
    <vt:lpwstr>_2015_ms_pID_725343</vt:lpwstr>
  </property>
  <property fmtid="{D5CDD505-2E9C-101B-9397-08002B2CF9AE}" pid="31" name="_2015_ms_pID_7253431">
    <vt:lpwstr>seIoYVYDVg+0iIFWvDjeS3PoVBGmyHvEBB9/tofhwqHyQrqqdPQgqw
4x6V0sZKK4Frs6pobaDJf3peOY9FsUoXCtpj+r4dmwCKNxjMuliublnHEZYrfK5Ul2XydXV6
DqsS/2Zn8as1dZE5eaI/RkIdcrqdo2GcJEm/xsJ3YYDmK8IQe0cpZ7z33n7+yO+6sZpMNhJe
ipBSdEMeTLx43mnq5OsrvvhtftH8ROp4+Hj7</vt:lpwstr>
  </property>
  <property fmtid="{D5CDD505-2E9C-101B-9397-08002B2CF9AE}" pid="32" name="_2015_ms_pID_7253431_00">
    <vt:lpwstr>_2015_ms_pID_7253431</vt:lpwstr>
  </property>
  <property fmtid="{D5CDD505-2E9C-101B-9397-08002B2CF9AE}" pid="33" name="_2015_ms_pID_7253432">
    <vt:lpwstr>wi/XImhzTJbgXrJexgdr4hSyworKnp8/HCm5
boiAr8h2W/GYj1EMAVqGwy/CEYTkV0rMK97MsPM3O7/VAIU8YmI=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